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2CAE9B5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>: Personal Identification                                       World Language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563"/>
        <w:gridCol w:w="3577"/>
        <w:gridCol w:w="4451"/>
        <w:gridCol w:w="18"/>
      </w:tblGrid>
      <w:tr w:rsidR="00E5031A" w:rsidRPr="00211E5C" w14:paraId="78C041C0" w14:textId="77777777" w:rsidTr="00A36E01">
        <w:trPr>
          <w:gridAfter w:val="1"/>
          <w:wAfter w:w="18" w:type="dxa"/>
        </w:trPr>
        <w:tc>
          <w:tcPr>
            <w:tcW w:w="10755" w:type="dxa"/>
            <w:gridSpan w:val="5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A36E01">
        <w:trPr>
          <w:gridAfter w:val="2"/>
          <w:wAfter w:w="4469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303FD1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14:paraId="7DBA13F3" w14:textId="669C4ABC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auto"/>
          </w:tcPr>
          <w:p w14:paraId="3E72CB21" w14:textId="235771E7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7E78C5">
              <w:rPr>
                <w:i/>
                <w:sz w:val="20"/>
                <w:szCs w:val="20"/>
              </w:rPr>
              <w:t>Leisure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252EA3D8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</w:t>
            </w:r>
            <w:r w:rsidR="007E78C5">
              <w:rPr>
                <w:i/>
                <w:sz w:val="20"/>
                <w:szCs w:val="20"/>
              </w:rPr>
              <w:t>what they do in their free time and what others do in their free time.</w:t>
            </w:r>
          </w:p>
          <w:p w14:paraId="67320BE7" w14:textId="7061CCCC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7E78C5">
              <w:rPr>
                <w:i/>
                <w:sz w:val="20"/>
                <w:szCs w:val="20"/>
              </w:rPr>
              <w:t>aware and understanding of</w:t>
            </w:r>
            <w:r>
              <w:rPr>
                <w:i/>
                <w:sz w:val="20"/>
                <w:szCs w:val="20"/>
              </w:rPr>
              <w:t xml:space="preserve">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72FA9043" w:rsidR="00727172" w:rsidRPr="008F1C41" w:rsidRDefault="007E78C5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Leisure practices vary around the world and by culture</w:t>
            </w:r>
            <w:r w:rsidR="00D05FBB" w:rsidRPr="008F1C41">
              <w:rPr>
                <w:sz w:val="20"/>
              </w:rPr>
              <w:t>.</w:t>
            </w:r>
            <w:r w:rsidR="007165D4" w:rsidRPr="008F1C41">
              <w:rPr>
                <w:sz w:val="20"/>
              </w:rPr>
              <w:t xml:space="preserve"> 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469574FD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0B30C26A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</w:t>
            </w:r>
            <w:r w:rsidR="00A5473A">
              <w:rPr>
                <w:sz w:val="20"/>
              </w:rPr>
              <w:t>culture influence values, beliefs and practices in regards to leisure activities</w:t>
            </w:r>
            <w:r w:rsidRPr="008F1C41">
              <w:rPr>
                <w:sz w:val="20"/>
              </w:rPr>
              <w:t xml:space="preserve">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4F73D985" w14:textId="44B0C386" w:rsidR="0084339A" w:rsidRPr="00484CEA" w:rsidRDefault="0084339A" w:rsidP="00484CEA">
            <w:r w:rsidRPr="008F1C41">
              <w:rPr>
                <w:sz w:val="20"/>
              </w:rPr>
              <w:t xml:space="preserve">How do the </w:t>
            </w:r>
            <w:r w:rsidR="00484CEA">
              <w:rPr>
                <w:sz w:val="20"/>
              </w:rPr>
              <w:t xml:space="preserve">leisure practices and perspectives </w:t>
            </w:r>
            <w:r w:rsidRPr="008F1C41">
              <w:rPr>
                <w:sz w:val="20"/>
              </w:rPr>
              <w:t>of other cultures compare to my own?</w:t>
            </w:r>
          </w:p>
        </w:tc>
      </w:tr>
      <w:tr w:rsidR="00F5352B" w:rsidRPr="00211E5C" w14:paraId="61A7978F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3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A36E01">
        <w:trPr>
          <w:gridAfter w:val="1"/>
          <w:wAfter w:w="18" w:type="dxa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59BF777A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8B1F7C">
              <w:rPr>
                <w:sz w:val="20"/>
              </w:rPr>
              <w:t>providing and obtaining information on:</w:t>
            </w:r>
          </w:p>
          <w:p w14:paraId="4538EE41" w14:textId="2038DA74" w:rsidR="00A5473A" w:rsidRDefault="00A5473A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Sports, hobbies, activities, interests</w:t>
            </w:r>
          </w:p>
          <w:p w14:paraId="40215029" w14:textId="77777777" w:rsidR="00A5473A" w:rsidRDefault="00A5473A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Daily Routines</w:t>
            </w:r>
          </w:p>
          <w:p w14:paraId="62129576" w14:textId="77777777" w:rsidR="00A5473A" w:rsidRDefault="00A5473A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Teams, Sports</w:t>
            </w:r>
          </w:p>
          <w:p w14:paraId="65B040C1" w14:textId="77777777" w:rsidR="00A5473A" w:rsidRDefault="00A5473A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Parts of the Day</w:t>
            </w:r>
          </w:p>
          <w:p w14:paraId="6599D827" w14:textId="3BFEC3F3" w:rsidR="00A5473A" w:rsidRDefault="00A5473A" w:rsidP="008B1F7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Holidays/Vacation</w:t>
            </w:r>
          </w:p>
          <w:p w14:paraId="5D27ECB1" w14:textId="24E7553D" w:rsidR="00A5473A" w:rsidRPr="00A5473A" w:rsidRDefault="008F1C41" w:rsidP="00A547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A5473A">
              <w:rPr>
                <w:sz w:val="20"/>
                <w:szCs w:val="24"/>
              </w:rPr>
              <w:t xml:space="preserve"> such as:</w:t>
            </w:r>
          </w:p>
          <w:p w14:paraId="51738515" w14:textId="321D406F" w:rsidR="00A5473A" w:rsidRPr="00A5473A" w:rsidRDefault="00A5473A" w:rsidP="00A547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Regular and Irregular Verbs</w:t>
            </w:r>
          </w:p>
          <w:p w14:paraId="273DAEFA" w14:textId="77777777" w:rsidR="00A5473A" w:rsidRPr="00A5473A" w:rsidRDefault="00A5473A" w:rsidP="00A547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Transition Words</w:t>
            </w:r>
          </w:p>
          <w:p w14:paraId="1E257F19" w14:textId="6DC631EA" w:rsidR="00A5473A" w:rsidRPr="00A5473A" w:rsidRDefault="00A5473A" w:rsidP="00A547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Negative Statements</w:t>
            </w:r>
          </w:p>
          <w:p w14:paraId="6775D3B8" w14:textId="2E482179" w:rsidR="00A5473A" w:rsidRPr="00A5473A" w:rsidRDefault="00A5473A" w:rsidP="00A547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Simple Future</w:t>
            </w:r>
          </w:p>
          <w:p w14:paraId="0BF081B4" w14:textId="0327D05A" w:rsidR="007A43B6" w:rsidRPr="00D716B0" w:rsidRDefault="007A43B6" w:rsidP="00A547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the </w:t>
            </w:r>
            <w:r w:rsidR="00A5473A">
              <w:rPr>
                <w:sz w:val="20"/>
                <w:szCs w:val="24"/>
              </w:rPr>
              <w:t>leisure practices and sports culture of people from the Target Culture and compare them to their own.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72906A20" w14:textId="45C0CA43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484CEA">
              <w:rPr>
                <w:sz w:val="20"/>
              </w:rPr>
              <w:t>leisure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information.</w:t>
            </w:r>
          </w:p>
          <w:p w14:paraId="3484A8FA" w14:textId="36AA5302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use knowledge of syntax to communicat</w:t>
            </w:r>
            <w:r w:rsidR="007A43B6">
              <w:rPr>
                <w:sz w:val="20"/>
              </w:rPr>
              <w:t xml:space="preserve">e both </w:t>
            </w:r>
            <w:r w:rsidR="00AD0598">
              <w:rPr>
                <w:sz w:val="20"/>
              </w:rPr>
              <w:t>expressively and receptively.</w:t>
            </w:r>
          </w:p>
          <w:p w14:paraId="1E923561" w14:textId="64E11444" w:rsidR="007A43B6" w:rsidRPr="008F1C41" w:rsidRDefault="007A43B6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gain an appreciation of other cultures</w:t>
            </w:r>
            <w:r w:rsidR="00484CEA">
              <w:rPr>
                <w:sz w:val="20"/>
              </w:rPr>
              <w:t>’ leisure and sports activities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  <w:tr w:rsidR="00530577" w:rsidRPr="00211E5C" w14:paraId="4FD8962B" w14:textId="77777777" w:rsidTr="00A36E01">
        <w:tc>
          <w:tcPr>
            <w:tcW w:w="10773" w:type="dxa"/>
            <w:gridSpan w:val="6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A36E01">
        <w:tc>
          <w:tcPr>
            <w:tcW w:w="2727" w:type="dxa"/>
            <w:gridSpan w:val="3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3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A36E01">
        <w:trPr>
          <w:trHeight w:val="2354"/>
        </w:trPr>
        <w:tc>
          <w:tcPr>
            <w:tcW w:w="2727" w:type="dxa"/>
            <w:gridSpan w:val="3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9FE29F7" w14:textId="140B8541" w:rsidR="00604A1F" w:rsidRPr="00604A1F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 this performance task, the school year has just begun and scholars are meeting each other for the first time.  You want to find out about one another.  </w:t>
            </w:r>
            <w:r>
              <w:rPr>
                <w:b/>
                <w:i/>
                <w:sz w:val="20"/>
                <w:szCs w:val="24"/>
              </w:rPr>
              <w:t xml:space="preserve">This performance task centers on ACTFL Standards </w:t>
            </w:r>
            <w:r w:rsidR="0032048C">
              <w:rPr>
                <w:b/>
                <w:i/>
                <w:sz w:val="20"/>
                <w:szCs w:val="24"/>
              </w:rPr>
              <w:t>1.1, 1.2, 1.3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62B2418A" w14:textId="0B5CB9B0" w:rsidR="00645EE8" w:rsidRDefault="008B1F7C" w:rsidP="004B7AD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Storyboard:  Students will illustrate 7 </w:t>
            </w:r>
            <w:r w:rsidR="00A854DD">
              <w:rPr>
                <w:szCs w:val="24"/>
              </w:rPr>
              <w:t xml:space="preserve">different </w:t>
            </w:r>
            <w:r>
              <w:rPr>
                <w:szCs w:val="24"/>
              </w:rPr>
              <w:t>activities for the 7 days of the week and write at least 2 phrases in TL beneath each activity.</w:t>
            </w:r>
          </w:p>
          <w:p w14:paraId="3AA3147D" w14:textId="77777777" w:rsidR="008B1F7C" w:rsidRDefault="008B1F7C" w:rsidP="004B7ADE">
            <w:pPr>
              <w:spacing w:after="0" w:line="240" w:lineRule="auto"/>
              <w:rPr>
                <w:szCs w:val="24"/>
              </w:rPr>
            </w:pPr>
          </w:p>
          <w:p w14:paraId="44F8EC10" w14:textId="7EC2C0A4" w:rsidR="007D01D9" w:rsidRDefault="00303FD1" w:rsidP="007E1038">
            <w:pPr>
              <w:spacing w:after="0" w:line="259" w:lineRule="auto"/>
              <w:rPr>
                <w:sz w:val="20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A36E01">
        <w:trPr>
          <w:trHeight w:val="1061"/>
        </w:trPr>
        <w:tc>
          <w:tcPr>
            <w:tcW w:w="2727" w:type="dxa"/>
            <w:gridSpan w:val="3"/>
            <w:vMerge/>
            <w:shd w:val="clear" w:color="auto" w:fill="auto"/>
          </w:tcPr>
          <w:p w14:paraId="38C77FB9" w14:textId="1D55E1F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00"/>
        <w:gridCol w:w="2047"/>
        <w:gridCol w:w="343"/>
      </w:tblGrid>
      <w:tr w:rsidR="002B1A9A" w:rsidRPr="00926767" w14:paraId="1A1F12DA" w14:textId="77777777" w:rsidTr="00A40AB6">
        <w:tc>
          <w:tcPr>
            <w:tcW w:w="1080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490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A40AB6">
        <w:trPr>
          <w:gridAfter w:val="1"/>
          <w:wAfter w:w="343" w:type="dxa"/>
        </w:trPr>
        <w:tc>
          <w:tcPr>
            <w:tcW w:w="1080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42F97A6D" w:rsidR="00581D3A" w:rsidRDefault="00A40A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1-2</w:t>
            </w:r>
            <w:r w:rsidR="00581D3A">
              <w:rPr>
                <w:sz w:val="20"/>
                <w:szCs w:val="24"/>
              </w:rPr>
              <w:t>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3940CD49" w:rsidR="00581D3A" w:rsidRDefault="00A40A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3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442724D3" w:rsidR="00581D3A" w:rsidRDefault="00A40A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29EDB88B" w:rsidR="00581D3A" w:rsidRDefault="00A40A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5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3FB518F1" w:rsidR="002B1A9A" w:rsidRDefault="00A40AB6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through 2</w:t>
            </w:r>
            <w:r w:rsidR="009C3CE1">
              <w:rPr>
                <w:sz w:val="20"/>
                <w:szCs w:val="24"/>
              </w:rPr>
              <w:t xml:space="preserve">: Scholars identify and use 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 w:rsidR="009C3CE1">
              <w:rPr>
                <w:sz w:val="20"/>
                <w:szCs w:val="24"/>
              </w:rPr>
              <w:t xml:space="preserve"> in context.</w:t>
            </w:r>
          </w:p>
          <w:p w14:paraId="1FE7F5D8" w14:textId="77777777" w:rsidR="00A36E01" w:rsidRDefault="00A36E0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7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0"/>
              <w:gridCol w:w="1357"/>
              <w:gridCol w:w="1680"/>
              <w:gridCol w:w="1657"/>
            </w:tblGrid>
            <w:tr w:rsidR="00A36E01" w:rsidRPr="00A36E01" w14:paraId="707E4046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</w:tcPr>
                <w:p w14:paraId="443BBE69" w14:textId="443BD265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PLAY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14:paraId="43049C5C" w14:textId="5CB95D9A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MORNING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</w:tcPr>
                <w:p w14:paraId="22EF4393" w14:textId="4E48CEC3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AFTERNOON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</w:tcPr>
                <w:p w14:paraId="50002330" w14:textId="5A30E54E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NOON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</w:tcPr>
                <w:p w14:paraId="3052B88A" w14:textId="20D9D2B4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NIGHT</w:t>
                  </w:r>
                </w:p>
              </w:tc>
            </w:tr>
            <w:tr w:rsidR="00A36E01" w:rsidRPr="00A36E01" w14:paraId="45D90D98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3674BBD6" w14:textId="460347BB" w:rsidR="00A36E01" w:rsidRPr="00A36E01" w:rsidRDefault="00A36E01" w:rsidP="00A36E01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EVERY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3756C4B4" w14:textId="038C9E17" w:rsidR="00A36E01" w:rsidRPr="00A36E01" w:rsidRDefault="00D00CE7" w:rsidP="00A36E01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SING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16C4FD91" w14:textId="449993D9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DANCE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1E4064CA" w14:textId="52C9CE36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WRITE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27676D4E" w14:textId="3FDFE475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LISTEN TO MUSIC</w:t>
                  </w:r>
                </w:p>
              </w:tc>
            </w:tr>
            <w:tr w:rsidR="00A36E01" w:rsidRPr="00A36E01" w14:paraId="15A4DB29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32EB6C44" w14:textId="04B6CC30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GO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0CA543B3" w14:textId="43BCA7A7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READ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3B22D915" w14:textId="23E66A6C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DRAW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42EED72A" w14:textId="2251954A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PLAY (AN INSTRUMENT)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5FC14C9C" w14:textId="295DBB94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SLEEP</w:t>
                  </w:r>
                </w:p>
              </w:tc>
            </w:tr>
            <w:tr w:rsidR="00A36E01" w:rsidRPr="00A36E01" w14:paraId="5F9844D1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7078693E" w14:textId="5C7D2AC1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COOK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566A55F3" w14:textId="0C87436A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EAT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487030CE" w14:textId="636B850F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PLAY VIDEO GAMES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130D2D66" w14:textId="5E052F95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WATCH TV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7B935E5E" w14:textId="6671FB81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SPEND TIME WITH FRIENDS</w:t>
                  </w:r>
                </w:p>
              </w:tc>
            </w:tr>
            <w:tr w:rsidR="00A36E01" w:rsidRPr="00A36E01" w14:paraId="203D7EE6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6F94EBC0" w14:textId="1BEBE0DA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RUN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3F251F2F" w14:textId="5CA5E9B8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SPORTS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0E2A206C" w14:textId="0ABE4D02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BASEBALL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012A9A9E" w14:textId="3E111190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FOOTBALL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5A7A4888" w14:textId="16CAB99E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BASKETBALL</w:t>
                  </w:r>
                </w:p>
              </w:tc>
            </w:tr>
            <w:tr w:rsidR="00A36E01" w:rsidRPr="00A36E01" w14:paraId="27832F48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7239F54C" w14:textId="7808DA24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SOCCER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34846A35" w14:textId="1ABD6A7E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TENNIS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56EB47FF" w14:textId="10D5ED5E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HOCKEY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1B35EC30" w14:textId="5CA6E899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GO CAMPING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7EB2AC26" w14:textId="4F76B749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ICE-SKATING</w:t>
                  </w:r>
                </w:p>
              </w:tc>
            </w:tr>
            <w:tr w:rsidR="00A36E01" w:rsidRPr="00A36E01" w14:paraId="4F078979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6EB9B233" w14:textId="1013C92E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CHEERLEADING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64F62E95" w14:textId="7E070CA4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SWIM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5366053C" w14:textId="77A84BEA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BOWLING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0BE3B959" w14:textId="0A362A06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GO FISHING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3A4A4A0C" w14:textId="4144BAA8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GO SKIING</w:t>
                  </w:r>
                </w:p>
              </w:tc>
            </w:tr>
            <w:tr w:rsidR="00A36E01" w:rsidRPr="00A36E01" w14:paraId="1BB12843" w14:textId="77777777" w:rsidTr="00A40AB6">
              <w:trPr>
                <w:trHeight w:val="377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6F31BC00" w14:textId="06C708AF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VOLLEYBALL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62062C0E" w14:textId="1E1F20B2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TEAM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21D51032" w14:textId="3F52FB16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GYMNASTICS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05DB125A" w14:textId="1560282B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WRESTLING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405BC569" w14:textId="65F4F07A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 w:rsidRPr="00A36E01">
                    <w:rPr>
                      <w:rFonts w:asciiTheme="majorHAnsi" w:hAnsiTheme="majorHAnsi"/>
                      <w:sz w:val="20"/>
                      <w:szCs w:val="20"/>
                    </w:rPr>
                    <w:t>GOLF</w:t>
                  </w:r>
                </w:p>
              </w:tc>
            </w:tr>
            <w:tr w:rsidR="00A36E01" w:rsidRPr="00A36E01" w14:paraId="13B7B9B5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  <w:hideMark/>
                </w:tcPr>
                <w:p w14:paraId="76624104" w14:textId="69BDC069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MARTIAL ARTS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14:paraId="32653CE0" w14:textId="110C6399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TO TALK ON THE PHONE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hideMark/>
                </w:tcPr>
                <w:p w14:paraId="70DD321E" w14:textId="2B9D8308" w:rsidR="00A36E01" w:rsidRPr="00A36E01" w:rsidRDefault="00D00CE7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TO USE THE </w:t>
                  </w:r>
                  <w:r w:rsidR="00A40AB6">
                    <w:rPr>
                      <w:rFonts w:asciiTheme="majorHAnsi" w:hAnsiTheme="majorHAnsi"/>
                      <w:sz w:val="20"/>
                      <w:szCs w:val="20"/>
                    </w:rPr>
                    <w:t>COMPUTER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hideMark/>
                </w:tcPr>
                <w:p w14:paraId="70D89372" w14:textId="5AF6E5FF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WALK</w:t>
                  </w:r>
                </w:p>
              </w:tc>
              <w:tc>
                <w:tcPr>
                  <w:tcW w:w="1657" w:type="dxa"/>
                  <w:shd w:val="clear" w:color="auto" w:fill="auto"/>
                  <w:noWrap/>
                  <w:hideMark/>
                </w:tcPr>
                <w:p w14:paraId="3F9D61A4" w14:textId="4CE23BDB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HIKE</w:t>
                  </w:r>
                </w:p>
              </w:tc>
            </w:tr>
            <w:tr w:rsidR="00A36E01" w:rsidRPr="00A36E01" w14:paraId="7D719834" w14:textId="77777777" w:rsidTr="00A40AB6">
              <w:trPr>
                <w:trHeight w:val="15"/>
              </w:trPr>
              <w:tc>
                <w:tcPr>
                  <w:tcW w:w="1338" w:type="dxa"/>
                  <w:shd w:val="clear" w:color="auto" w:fill="auto"/>
                  <w:noWrap/>
                </w:tcPr>
                <w:p w14:paraId="06181052" w14:textId="441C8955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SKATEBOARD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14:paraId="6436C58C" w14:textId="15CD4F0F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TO RIDE A BIKE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</w:tcPr>
                <w:p w14:paraId="244568B3" w14:textId="005EA960" w:rsidR="00A36E01" w:rsidRPr="00A36E01" w:rsidRDefault="00A40AB6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  <w:t>BOXING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</w:tcPr>
                <w:p w14:paraId="15CE5087" w14:textId="13F85731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noWrap/>
                </w:tcPr>
                <w:p w14:paraId="26F4190C" w14:textId="714F8D9B" w:rsidR="00A36E01" w:rsidRPr="00A36E01" w:rsidRDefault="00A36E01" w:rsidP="00F066B4">
                  <w:pPr>
                    <w:spacing w:after="0" w:line="240" w:lineRule="auto"/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D5882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AD632FC" w14:textId="4AE034A4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A854DD">
              <w:rPr>
                <w:sz w:val="20"/>
                <w:szCs w:val="24"/>
              </w:rPr>
              <w:t>3</w:t>
            </w:r>
            <w:r w:rsidR="002D7F58">
              <w:rPr>
                <w:sz w:val="20"/>
                <w:szCs w:val="24"/>
              </w:rPr>
              <w:t>:  Scholars are using</w:t>
            </w:r>
            <w:r>
              <w:rPr>
                <w:sz w:val="20"/>
                <w:szCs w:val="24"/>
              </w:rPr>
              <w:t xml:space="preserve"> vocabulary in context and learning how to </w:t>
            </w:r>
            <w:r w:rsidR="00A854DD">
              <w:rPr>
                <w:sz w:val="20"/>
                <w:szCs w:val="24"/>
              </w:rPr>
              <w:t>use the verbs “to play” and “to go”</w:t>
            </w:r>
            <w:r>
              <w:rPr>
                <w:sz w:val="20"/>
                <w:szCs w:val="24"/>
              </w:rPr>
              <w:t xml:space="preserve">.  Scholars are learning  </w:t>
            </w:r>
            <w:r w:rsidR="002936CC">
              <w:rPr>
                <w:sz w:val="20"/>
                <w:szCs w:val="24"/>
              </w:rPr>
              <w:t xml:space="preserve"> grammatical strategies </w:t>
            </w:r>
            <w:r>
              <w:rPr>
                <w:sz w:val="20"/>
                <w:szCs w:val="24"/>
              </w:rPr>
              <w:t xml:space="preserve">to describe </w:t>
            </w:r>
            <w:r w:rsidR="00A854DD">
              <w:rPr>
                <w:sz w:val="20"/>
                <w:szCs w:val="24"/>
              </w:rPr>
              <w:t>where they will be going and what they will be doing</w:t>
            </w:r>
            <w:r>
              <w:rPr>
                <w:sz w:val="20"/>
                <w:szCs w:val="24"/>
              </w:rPr>
              <w:t>.</w:t>
            </w:r>
          </w:p>
          <w:p w14:paraId="066EEB6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76625D3A" w:rsidR="009C3CE1" w:rsidRDefault="00A854DD" w:rsidP="00A854DD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4</w:t>
            </w:r>
            <w:r w:rsidR="009C3CE1">
              <w:rPr>
                <w:sz w:val="20"/>
                <w:szCs w:val="24"/>
              </w:rPr>
              <w:t xml:space="preserve">:  Scholars </w:t>
            </w:r>
            <w:r>
              <w:rPr>
                <w:sz w:val="20"/>
                <w:szCs w:val="24"/>
              </w:rPr>
              <w:t xml:space="preserve">create a Story Board highlighting </w:t>
            </w:r>
            <w:r w:rsidR="00392CC7">
              <w:rPr>
                <w:sz w:val="20"/>
                <w:szCs w:val="24"/>
              </w:rPr>
              <w:t>7 different leisure activities.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71EB068C" w:rsidR="00087040" w:rsidRDefault="00392CC7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5</w:t>
            </w:r>
            <w:bookmarkStart w:id="0" w:name="_GoBack"/>
            <w:bookmarkEnd w:id="0"/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1290D8F9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A40AB6">
              <w:rPr>
                <w:sz w:val="20"/>
                <w:szCs w:val="24"/>
              </w:rPr>
              <w:t>) Lessons 1-4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41CDD09C" w:rsidR="00251781" w:rsidRDefault="00A40AB6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Mini Project</w:t>
            </w:r>
            <w:r w:rsidR="00A854DD">
              <w:rPr>
                <w:sz w:val="20"/>
                <w:szCs w:val="24"/>
              </w:rPr>
              <w:t xml:space="preserve"> (Lesson 4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5152FFBA" w:rsidR="00087040" w:rsidRPr="009C3CE1" w:rsidRDefault="00A854DD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5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0B163B" w14:textId="2BFF0976" w:rsidR="00530577" w:rsidRPr="00211E5C" w:rsidRDefault="00530577" w:rsidP="0073470E">
      <w:pPr>
        <w:spacing w:after="0" w:line="240" w:lineRule="auto"/>
        <w:rPr>
          <w:b/>
          <w:sz w:val="28"/>
          <w:szCs w:val="28"/>
        </w:rPr>
      </w:pPr>
    </w:p>
    <w:p w14:paraId="5460C6CD" w14:textId="77777777" w:rsidR="00AC3411" w:rsidRDefault="00AC3411" w:rsidP="00530577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755C" w14:textId="77777777" w:rsidR="00303FD1" w:rsidRDefault="00303FD1" w:rsidP="00530577">
      <w:pPr>
        <w:spacing w:after="0" w:line="240" w:lineRule="auto"/>
      </w:pPr>
      <w:r>
        <w:separator/>
      </w:r>
    </w:p>
  </w:endnote>
  <w:endnote w:type="continuationSeparator" w:id="0">
    <w:p w14:paraId="383DBB31" w14:textId="77777777" w:rsidR="00303FD1" w:rsidRDefault="00303FD1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6FC55" w14:textId="77777777" w:rsidR="00303FD1" w:rsidRDefault="00303FD1" w:rsidP="00530577">
      <w:pPr>
        <w:spacing w:after="0" w:line="240" w:lineRule="auto"/>
      </w:pPr>
      <w:r>
        <w:separator/>
      </w:r>
    </w:p>
  </w:footnote>
  <w:footnote w:type="continuationSeparator" w:id="0">
    <w:p w14:paraId="6D5FDF9F" w14:textId="77777777" w:rsidR="00303FD1" w:rsidRDefault="00303FD1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501A93E3" w:rsidR="008B2C89" w:rsidRDefault="008B2C89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7E78C5">
            <w:rPr>
              <w:sz w:val="28"/>
              <w:szCs w:val="28"/>
            </w:rPr>
            <w:t xml:space="preserve">        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BD7FDA">
            <w:rPr>
              <w:sz w:val="28"/>
              <w:szCs w:val="28"/>
            </w:rPr>
            <w:t>1</w:t>
          </w:r>
          <w:r w:rsidR="007E78C5">
            <w:rPr>
              <w:sz w:val="28"/>
              <w:szCs w:val="28"/>
            </w:rPr>
            <w:t>0</w:t>
          </w:r>
          <w:r w:rsidRPr="001435D8">
            <w:rPr>
              <w:sz w:val="28"/>
              <w:szCs w:val="28"/>
            </w:rPr>
            <w:t xml:space="preserve">      </w:t>
          </w:r>
          <w:r w:rsidR="007E78C5">
            <w:rPr>
              <w:sz w:val="28"/>
              <w:szCs w:val="28"/>
            </w:rPr>
            <w:t xml:space="preserve">                       </w:t>
          </w:r>
          <w:r w:rsidRPr="001435D8">
            <w:rPr>
              <w:sz w:val="28"/>
              <w:szCs w:val="28"/>
            </w:rPr>
            <w:t>Title:</w:t>
          </w:r>
          <w:r w:rsidR="007E78C5">
            <w:rPr>
              <w:sz w:val="28"/>
              <w:szCs w:val="28"/>
            </w:rPr>
            <w:t xml:space="preserve">  Leisure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E13E7"/>
    <w:multiLevelType w:val="hybridMultilevel"/>
    <w:tmpl w:val="7C50AF6C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402F1166"/>
    <w:multiLevelType w:val="hybridMultilevel"/>
    <w:tmpl w:val="3FA61FBA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B466A"/>
    <w:multiLevelType w:val="hybridMultilevel"/>
    <w:tmpl w:val="13ACF38C"/>
    <w:lvl w:ilvl="0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3">
    <w:nsid w:val="74F107A5"/>
    <w:multiLevelType w:val="hybridMultilevel"/>
    <w:tmpl w:val="AAF06C96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4">
    <w:nsid w:val="7D864F02"/>
    <w:multiLevelType w:val="hybridMultilevel"/>
    <w:tmpl w:val="775EBB3C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87040"/>
    <w:rsid w:val="00141738"/>
    <w:rsid w:val="0015133C"/>
    <w:rsid w:val="001A6F7F"/>
    <w:rsid w:val="001F03FE"/>
    <w:rsid w:val="00251781"/>
    <w:rsid w:val="002936CC"/>
    <w:rsid w:val="002B1A9A"/>
    <w:rsid w:val="002C4361"/>
    <w:rsid w:val="002D7F58"/>
    <w:rsid w:val="00303FD1"/>
    <w:rsid w:val="0032048C"/>
    <w:rsid w:val="00392CC7"/>
    <w:rsid w:val="003B031F"/>
    <w:rsid w:val="004209FD"/>
    <w:rsid w:val="00484CEA"/>
    <w:rsid w:val="004B7ADE"/>
    <w:rsid w:val="0051118D"/>
    <w:rsid w:val="005144BB"/>
    <w:rsid w:val="00530577"/>
    <w:rsid w:val="00581D3A"/>
    <w:rsid w:val="005B1B91"/>
    <w:rsid w:val="005B5730"/>
    <w:rsid w:val="005F4241"/>
    <w:rsid w:val="00604A1F"/>
    <w:rsid w:val="00630113"/>
    <w:rsid w:val="00645EE8"/>
    <w:rsid w:val="0066118B"/>
    <w:rsid w:val="00691803"/>
    <w:rsid w:val="007165D4"/>
    <w:rsid w:val="00727172"/>
    <w:rsid w:val="0073470E"/>
    <w:rsid w:val="00756195"/>
    <w:rsid w:val="00763ACB"/>
    <w:rsid w:val="007A43B6"/>
    <w:rsid w:val="007D01D9"/>
    <w:rsid w:val="007E1038"/>
    <w:rsid w:val="007E78C5"/>
    <w:rsid w:val="008003B4"/>
    <w:rsid w:val="0084339A"/>
    <w:rsid w:val="008B1F7C"/>
    <w:rsid w:val="008B2C89"/>
    <w:rsid w:val="008F1C41"/>
    <w:rsid w:val="008F32EC"/>
    <w:rsid w:val="008F54E1"/>
    <w:rsid w:val="00903EDC"/>
    <w:rsid w:val="009C3CE1"/>
    <w:rsid w:val="009E0C91"/>
    <w:rsid w:val="009E6729"/>
    <w:rsid w:val="009E7291"/>
    <w:rsid w:val="00A02E0E"/>
    <w:rsid w:val="00A07F3F"/>
    <w:rsid w:val="00A36E01"/>
    <w:rsid w:val="00A40AB6"/>
    <w:rsid w:val="00A41C11"/>
    <w:rsid w:val="00A5473A"/>
    <w:rsid w:val="00A854DD"/>
    <w:rsid w:val="00AC3411"/>
    <w:rsid w:val="00AD0598"/>
    <w:rsid w:val="00B5382A"/>
    <w:rsid w:val="00BD7FDA"/>
    <w:rsid w:val="00BF3131"/>
    <w:rsid w:val="00C24DC2"/>
    <w:rsid w:val="00C31C1B"/>
    <w:rsid w:val="00C474AA"/>
    <w:rsid w:val="00C81854"/>
    <w:rsid w:val="00CB07E8"/>
    <w:rsid w:val="00D00CE7"/>
    <w:rsid w:val="00D05FBB"/>
    <w:rsid w:val="00D158FF"/>
    <w:rsid w:val="00D716B0"/>
    <w:rsid w:val="00D73406"/>
    <w:rsid w:val="00DF1113"/>
    <w:rsid w:val="00E5031A"/>
    <w:rsid w:val="00F066B4"/>
    <w:rsid w:val="00F5352B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2827B-2D17-4835-AC63-A5699C41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3</cp:revision>
  <cp:lastPrinted>2015-08-11T19:01:00Z</cp:lastPrinted>
  <dcterms:created xsi:type="dcterms:W3CDTF">2015-08-21T14:41:00Z</dcterms:created>
  <dcterms:modified xsi:type="dcterms:W3CDTF">2015-08-21T16:08:00Z</dcterms:modified>
</cp:coreProperties>
</file>